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936852fd04234" /><Relationship Type="http://schemas.openxmlformats.org/package/2006/relationships/metadata/core-properties" Target="/package/services/metadata/core-properties/72983c0e89614ea38d4107e6c98caa10.psmdcp" Id="R02f6938630d64a1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Irene Tawiah Ampong</w:t>
      </w:r>
    </w:p>
    <w:p>
      <w:r>
        <w:rPr>
          <w:rStyle w:val="Muted"/>
          <w:sz w:val="22"/>
        </w:rPr>
        <w:t xml:space="preserve">Senior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156872d0fec426e">
        <w:r>
          <w:rPr>
            <w:rStyle w:val="Hyperlink"/>
            <w:sz w:val="18"/>
          </w:rPr>
          <w:t xml:space="preserve">scholar.ucc.edu.gh/staff/0c743151-9daa-4873-b956-b6e3560415d8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57c82dde33ec4dc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scholar.ucc.edu.gh/staff/0c743151-9daa-4873-b956-b6e3560415d8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22cc9eeb91244fc" /><Relationship Type="http://schemas.openxmlformats.org/officeDocument/2006/relationships/hyperlink" Target="https://scholar.ucc.edu.gh/staff/0c743151-9daa-4873-b956-b6e3560415d8" TargetMode="External" Id="R5156872d0fec426e" /><Relationship Type="http://schemas.openxmlformats.org/officeDocument/2006/relationships/footer" Target="/word/footer1.xml" Id="R57c82dde33ec4dc1" /></Relationships>
</file>