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118516673455a" /><Relationship Type="http://schemas.openxmlformats.org/package/2006/relationships/metadata/core-properties" Target="/package/services/metadata/core-properties/b2882f5603b5484ca8043c2266c77637.psmdcp" Id="R63c1e5e6a48f4e5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Kwame Owusu-amoh</w:t>
      </w:r>
    </w:p>
    <w:p>
      <w:r>
        <w:rPr>
          <w:rStyle w:val="Muted"/>
          <w:sz w:val="22"/>
        </w:rPr>
        <w:t xml:space="preserve">Assistant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bcad17237d04227">
        <w:r>
          <w:rPr>
            <w:rStyle w:val="Hyperlink"/>
            <w:sz w:val="18"/>
          </w:rPr>
          <w:t xml:space="preserve">scholar.google.com/citations?user=tMj2LEwAAAAJ&amp;hl=en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f0d559211b47dc">
        <w:r>
          <w:rPr>
            <w:rStyle w:val="Hyperlink"/>
            <w:sz w:val="18"/>
          </w:rPr>
          <w:t xml:space="preserve">scholar.ucc.edu.gh/staff/145860f5-bfa9-444f-bc66-4bf9213c94b8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Visual Rhetoric · Media Studies · Strategic Corporate Communication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 from 2018.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Jacob Nyarko, Eric Opoku Mensah, </w:t>
      </w:r>
      <w:r>
        <w:rPr>
          <w:b/>
        </w:rPr>
        <w:t xml:space="preserve">Stephen Kwame Owusu-Amoh</w:t>
      </w:r>
      <w:r>
        <w:t xml:space="preserve"> (2018). </w:t>
      </w:r>
      <w:r>
        <w:t xml:space="preserve">Achieving media independence through legal and regulatory measures: A formality or reality?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ccb7e2aa27f40fd">
        <w:r>
          <w:rPr>
            <w:rStyle w:val="Hyperlink"/>
          </w:rPr>
          <w:t xml:space="preserve">https://doi.org/10.1080/23311983.2018.1455625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 Opoku Mensah, </w:t>
      </w:r>
      <w:r>
        <w:rPr>
          <w:b/>
        </w:rPr>
        <w:t xml:space="preserve">Stephen Owusu-Amoh</w:t>
      </w:r>
      <w:r>
        <w:t xml:space="preserve">, Jacob Nyarko</w:t>
      </w:r>
      <w:r>
        <w:t xml:space="preserve"> (2018). </w:t>
      </w:r>
      <w:r>
        <w:t xml:space="preserve">The global imperialism project: lessons from television, movies and radio.</w:t>
      </w:r>
      <w:r>
        <w:t xml:space="preserve"> </w:t>
      </w:r>
      <w:r>
        <w:rPr>
          <w:i/>
        </w:rPr>
        <w:t xml:space="preserve">African Research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a92b5259126346ef">
        <w:r>
          <w:rPr>
            <w:rStyle w:val="Hyperlink"/>
          </w:rPr>
          <w:t xml:space="preserve">https://doi.org/10.4314/afrrev.v12i4.1</w:t>
        </w:r>
      </w:hyperlink>
    </w:p>
    <w:sectPr>
      <w:footerReference xmlns:r="http://schemas.openxmlformats.org/officeDocument/2006/relationships" w:type="default" r:id="R52cdf40708fe402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scholar.ucc.edu.gh/staff/145860f5-bfa9-444f-bc66-4bf9213c94b8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4f317cc7b04822" /><Relationship Type="http://schemas.openxmlformats.org/officeDocument/2006/relationships/hyperlink" Target="https://scholar.google.com/citations?user=tMj2LEwAAAAJ&amp;hl=en" TargetMode="External" Id="R4bcad17237d04227" /><Relationship Type="http://schemas.openxmlformats.org/officeDocument/2006/relationships/hyperlink" Target="https://scholar.ucc.edu.gh/staff/145860f5-bfa9-444f-bc66-4bf9213c94b8" TargetMode="External" Id="R61f0d559211b47dc" /><Relationship Type="http://schemas.openxmlformats.org/officeDocument/2006/relationships/hyperlink" Target="https://doi.org/10.1080/23311983.2018.1455625" TargetMode="External" Id="R2ccb7e2aa27f40fd" /><Relationship Type="http://schemas.openxmlformats.org/officeDocument/2006/relationships/hyperlink" Target="https://doi.org/10.4314/afrrev.v12i4.1" TargetMode="External" Id="Ra92b5259126346ef" /><Relationship Type="http://schemas.openxmlformats.org/officeDocument/2006/relationships/footer" Target="/word/footer1.xml" Id="R52cdf40708fe402f" /></Relationships>
</file>