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d7d733bd746f7" /><Relationship Type="http://schemas.openxmlformats.org/package/2006/relationships/metadata/core-properties" Target="/package/services/metadata/core-properties/453af1586bc84fddb42179876d9fcdf4.psmdcp" Id="R899eb6e0634447c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Victoria Agyare Appiah</w:t>
      </w:r>
    </w:p>
    <w:p>
      <w:r>
        <w:rPr>
          <w:rStyle w:val="Muted"/>
          <w:sz w:val="22"/>
        </w:rPr>
        <w:t xml:space="preserve">Lecturer · Centre for African and Inte'l.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9874ed143ff4919">
        <w:r>
          <w:rPr>
            <w:rStyle w:val="Hyperlink"/>
            <w:sz w:val="18"/>
          </w:rPr>
          <w:t xml:space="preserve">scholar.ucc.edu.gh/staff/196b783b-ebc3-46b8-aa61-cd26c182b34a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891202aa7ed34cf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scholar.ucc.edu.gh/staff/196b783b-ebc3-46b8-aa61-cd26c182b34a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29cbdf146247af" /><Relationship Type="http://schemas.openxmlformats.org/officeDocument/2006/relationships/hyperlink" Target="https://scholar.ucc.edu.gh/staff/196b783b-ebc3-46b8-aa61-cd26c182b34a" TargetMode="External" Id="R59874ed143ff4919" /><Relationship Type="http://schemas.openxmlformats.org/officeDocument/2006/relationships/footer" Target="/word/footer1.xml" Id="R891202aa7ed34cfd" /></Relationships>
</file>