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a7320a69b48a2" /><Relationship Type="http://schemas.openxmlformats.org/package/2006/relationships/metadata/core-properties" Target="/package/services/metadata/core-properties/3d9b15b2fc3140bcbb852c10c8ae2838.psmdcp" Id="R43a24c1807954f8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Modestha Mensah</w:t>
      </w:r>
    </w:p>
    <w:p>
      <w:r>
        <w:rPr>
          <w:rStyle w:val="Muted"/>
          <w:sz w:val="22"/>
        </w:rPr>
        <w:t xml:space="preserve">Assistant Lecturer · Department of Classics and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bf1206b1db34992">
        <w:r>
          <w:rPr>
            <w:rStyle w:val="Hyperlink"/>
            <w:sz w:val="18"/>
          </w:rPr>
          <w:t xml:space="preserve">scholar.ucc.edu.gh/staff/26db6b70-7793-485d-bf4d-91df83baeb38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bca477cf4f24ca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scholar.ucc.edu.gh/staff/26db6b70-7793-485d-bf4d-91df83baeb38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534c1a79ec46f5" /><Relationship Type="http://schemas.openxmlformats.org/officeDocument/2006/relationships/hyperlink" Target="https://scholar.ucc.edu.gh/staff/26db6b70-7793-485d-bf4d-91df83baeb38" TargetMode="External" Id="R1bf1206b1db34992" /><Relationship Type="http://schemas.openxmlformats.org/officeDocument/2006/relationships/footer" Target="/word/footer1.xml" Id="Rcbca477cf4f24ca7" /></Relationships>
</file>