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860ad969b74d32" /><Relationship Type="http://schemas.openxmlformats.org/package/2006/relationships/metadata/core-properties" Target="/package/services/metadata/core-properties/b295d46f523a4cbf8929d4dd7c754076.psmdcp" Id="R6c8840ea692b461d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Ekua Tekyiwa Amua-Sekyi</w:t>
      </w:r>
    </w:p>
    <w:p>
      <w:r>
        <w:rPr>
          <w:rStyle w:val="Muted"/>
          <w:sz w:val="22"/>
        </w:rPr>
        <w:t xml:space="preserve">Senior Lecturer · Arts &amp; Social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f4071637b17497b">
        <w:r>
          <w:rPr>
            <w:rStyle w:val="Hyperlink"/>
            <w:sz w:val="18"/>
          </w:rPr>
          <w:t xml:space="preserve">scholar.ucc.edu.gh/staff/276b7b31-6a67-4277-bf11-e6b154d9d5b6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047321100b454162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scholar.ucc.edu.gh/staff/276b7b31-6a67-4277-bf11-e6b154d9d5b6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7c29938553a4166" /><Relationship Type="http://schemas.openxmlformats.org/officeDocument/2006/relationships/hyperlink" Target="https://scholar.ucc.edu.gh/staff/276b7b31-6a67-4277-bf11-e6b154d9d5b6" TargetMode="External" Id="R9f4071637b17497b" /><Relationship Type="http://schemas.openxmlformats.org/officeDocument/2006/relationships/footer" Target="/word/footer1.xml" Id="R047321100b454162" /></Relationships>
</file>