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4e23cedfb74d97" /><Relationship Type="http://schemas.openxmlformats.org/package/2006/relationships/metadata/core-properties" Target="/package/services/metadata/core-properties/212a8e3607ff4f498aa039f205f6029f.psmdcp" Id="R574a9d636ffe43b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Baba Haruna</w:t>
      </w:r>
    </w:p>
    <w:p>
      <w:r>
        <w:rPr>
          <w:rStyle w:val="Muted"/>
          <w:sz w:val="22"/>
        </w:rPr>
        <w:t xml:space="preserve">Senior Lecturer · French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16dd7bfa8414e61">
        <w:r>
          <w:rPr>
            <w:rStyle w:val="Hyperlink"/>
            <w:sz w:val="18"/>
          </w:rPr>
          <w:t xml:space="preserve">scholar.ucc.edu.gh/staff/2b82c64b-cf73-43e5-8d99-43bd2cf76da0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2c9a37fbe1f048d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scholar.ucc.edu.gh/staff/2b82c64b-cf73-43e5-8d99-43bd2cf76da0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e3af07827e74b83" /><Relationship Type="http://schemas.openxmlformats.org/officeDocument/2006/relationships/hyperlink" Target="https://scholar.ucc.edu.gh/staff/2b82c64b-cf73-43e5-8d99-43bd2cf76da0" TargetMode="External" Id="R616dd7bfa8414e61" /><Relationship Type="http://schemas.openxmlformats.org/officeDocument/2006/relationships/footer" Target="/word/footer1.xml" Id="R2c9a37fbe1f048de" /></Relationships>
</file>