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58e8879ac4229" /><Relationship Type="http://schemas.openxmlformats.org/package/2006/relationships/metadata/core-properties" Target="/package/services/metadata/core-properties/f7e9b2fa78a04fd58c62d243b0a79479.psmdcp" Id="R2bebd37fbd6d4a6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Clement Lamboi Arthur</w:t>
      </w:r>
    </w:p>
    <w:p>
      <w:r>
        <w:rPr>
          <w:rStyle w:val="Muted"/>
          <w:sz w:val="22"/>
        </w:rPr>
        <w:t xml:space="preserve">Senior 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6ffb64e9ae046f3">
        <w:r>
          <w:rPr>
            <w:rStyle w:val="Hyperlink"/>
            <w:sz w:val="18"/>
          </w:rPr>
          <w:t xml:space="preserve">0000-0001-6451-720X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fea775960644bde">
        <w:r>
          <w:rPr>
            <w:rStyle w:val="Hyperlink"/>
            <w:sz w:val="18"/>
          </w:rPr>
          <w:t xml:space="preserve">scholar.ucc.edu.gh/staff/4c8ea408-cb2d-4b09-a803-7d833e45a229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Economics and Econometrics · Management Science and Operations Research · Marketing · Building and Construction ·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2017–2023. Field-weighted impact is the mean over the 8 works scored for it; 1.00 is the world average for works of the same field, type and year. 3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Asafo-Adjei, Peterson Owusu Junior, Anokye M. Adam, </w:t>
      </w:r>
      <w:r>
        <w:rPr>
          <w:b/>
        </w:rPr>
        <w:t xml:space="preserve">Clement Lamboi Arthur</w:t>
      </w:r>
      <w:r>
        <w:t xml:space="preserve">, Ebenezer Boateng, Kwadwo Ankomah</w:t>
      </w:r>
      <w:r>
        <w:t xml:space="preserve"> (2023). </w:t>
      </w:r>
      <w:r>
        <w:t xml:space="preserve">Asymmetric relationships among financial sector development, corruption, foreign direct investment, and economic growth in sub-Saharan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08eb67e0997d48b1">
        <w:r>
          <w:rPr>
            <w:rStyle w:val="Hyperlink"/>
          </w:rPr>
          <w:t xml:space="preserve">https://doi.org/10.1080/23322039.2023.2182454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Asafo-Adjei, Anokye M. Adam, Peterson Owusu Junior, </w:t>
      </w:r>
      <w:r>
        <w:rPr>
          <w:b/>
        </w:rPr>
        <w:t xml:space="preserve">Clement Lamboi Arthur</w:t>
      </w:r>
      <w:r>
        <w:t xml:space="preserve">, Baba Adibura Seidu</w:t>
      </w:r>
      <w:r>
        <w:t xml:space="preserve"> (2023). </w:t>
      </w:r>
      <w:r>
        <w:t xml:space="preserve">Multi-frequency information transmission among constituents and global equity returns: a sustainable and conventional way of investing.</w:t>
      </w:r>
      <w:r>
        <w:t xml:space="preserve"> </w:t>
      </w:r>
      <w:r>
        <w:rPr>
          <w:i/>
        </w:rPr>
        <w:t xml:space="preserve">European Journal of Management and Business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64cf20ce92342a7">
        <w:r>
          <w:rPr>
            <w:rStyle w:val="Hyperlink"/>
          </w:rPr>
          <w:t xml:space="preserve">https://doi.org/10.1108/ejmbe-05-2022-0126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Asafo-Adjei, Anokye Mohammed Adam, Peterson Owusu Junior, Patrick Kwashie Akorsu, </w:t>
      </w:r>
      <w:r>
        <w:rPr>
          <w:b/>
        </w:rPr>
        <w:t xml:space="preserve">Clement Lamboi Arthur</w:t>
      </w:r>
      <w:r>
        <w:t xml:space="preserve"> (2022). </w:t>
      </w:r>
      <w:r>
        <w:t xml:space="preserve">A CEEMDAN‐Based Entropy Approach Measuring Multiscale Information Flow between Macroeconomic Conditions and Stock Returns of BRICS.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44ae3f0d655148d1">
        <w:r>
          <w:rPr>
            <w:rStyle w:val="Hyperlink"/>
          </w:rPr>
          <w:t xml:space="preserve">https://doi.org/10.1155/2022/7871109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Asafo-Adjei, Anokye Mohammed Adam, </w:t>
      </w:r>
      <w:r>
        <w:rPr>
          <w:b/>
        </w:rPr>
        <w:t xml:space="preserve">Clement Lamboi Arthur</w:t>
      </w:r>
      <w:r>
        <w:t xml:space="preserve">, Baba Adibura Seidu, Razak Mohammed Gyasi</w:t>
      </w:r>
      <w:r>
        <w:t xml:space="preserve"> (2022). </w:t>
      </w:r>
      <w:r>
        <w:t xml:space="preserve">Similarities among equities returns in multi-frequencies: insights from sustainable responsible investing.</w:t>
      </w:r>
      <w:r>
        <w:t xml:space="preserve"> </w:t>
      </w:r>
      <w:r>
        <w:rPr>
          <w:i/>
        </w:rPr>
        <w:t xml:space="preserve">Journal of Sustainable Finance &amp; Investment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b2da4955e884fac">
        <w:r>
          <w:rPr>
            <w:rStyle w:val="Hyperlink"/>
          </w:rPr>
          <w:t xml:space="preserve">https://doi.org/10.1080/20430795.2022.2112141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Gilbert K. Amoako, Anokye M. Adam, George Tackie, </w:t>
      </w:r>
      <w:r>
        <w:rPr>
          <w:b/>
        </w:rPr>
        <w:t xml:space="preserve">Clement Lamboi Arthur</w:t>
      </w:r>
      <w:r>
        <w:t xml:space="preserve"> (2021). </w:t>
      </w:r>
      <w:r>
        <w:t xml:space="preserve">Environmental Accountability Practices of Environmentally Sensitive Firms in Ghana: Does Institutional Isomorphism Matter?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b87b2ed5f624718">
        <w:r>
          <w:rPr>
            <w:rStyle w:val="Hyperlink"/>
          </w:rPr>
          <w:t xml:space="preserve">https://doi.org/10.3390/su13179489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Gilbert Kwabena Amoako, Anokye M. Adam, </w:t>
      </w:r>
      <w:r>
        <w:rPr>
          <w:b/>
        </w:rPr>
        <w:t xml:space="preserve">Clement Lamboi Arthur</w:t>
      </w:r>
      <w:r>
        <w:t xml:space="preserve">, George Tackie</w:t>
      </w:r>
      <w:r>
        <w:t xml:space="preserve"> (2021). </w:t>
      </w:r>
      <w:r>
        <w:t xml:space="preserve">Institutional isomorphism, environmental management accounting and environmental accountability: a review.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864060b8e114737">
        <w:r>
          <w:rPr>
            <w:rStyle w:val="Hyperlink"/>
          </w:rPr>
          <w:t xml:space="preserve">https://doi.org/10.1007/s10668-020-01140-y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Jinhua Zhang, Junjie Wu, Justine Simpson, </w:t>
      </w:r>
      <w:r>
        <w:rPr>
          <w:b/>
        </w:rPr>
        <w:t xml:space="preserve">Clement Lamboi Arthur</w:t>
      </w:r>
      <w:r>
        <w:t xml:space="preserve"> (2019). </w:t>
      </w:r>
      <w:r>
        <w:t xml:space="preserve">Membership of Chinese Farmer Specialized Cooperatives and Direct Subsidies for Farmer Households: A Multi-Province Data Study.</w:t>
      </w:r>
      <w:r>
        <w:t xml:space="preserve"> </w:t>
      </w:r>
      <w:r>
        <w:rPr>
          <w:i/>
        </w:rPr>
        <w:t xml:space="preserve">Chinese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78169fbcee174da5">
        <w:r>
          <w:rPr>
            <w:rStyle w:val="Hyperlink"/>
          </w:rPr>
          <w:t xml:space="preserve">https://doi.org/10.1080/10971475.2019.1617928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Clement Lamboi Arthur</w:t>
      </w:r>
      <w:r>
        <w:t xml:space="preserve">, Junjie Wu, Milton Yago, Jinhua Zhang</w:t>
      </w:r>
      <w:r>
        <w:t xml:space="preserve"> (2017). </w:t>
      </w:r>
      <w:r>
        <w:t xml:space="preserve">Investigating performance indicators disclosure in sustainability reports of large mining companies in Ghana.</w:t>
      </w:r>
      <w:r>
        <w:t xml:space="preserve"> </w:t>
      </w:r>
      <w:r>
        <w:rPr>
          <w:i/>
        </w:rPr>
        <w:t xml:space="preserve">Corporate Governance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68547bcbdbd4a1e">
        <w:r>
          <w:rPr>
            <w:rStyle w:val="Hyperlink"/>
          </w:rPr>
          <w:t xml:space="preserve">https://doi.org/10.1108/cg-05-2016-0124</w:t>
        </w:r>
      </w:hyperlink>
    </w:p>
    <w:sectPr>
      <w:footerReference xmlns:r="http://schemas.openxmlformats.org/officeDocument/2006/relationships" w:type="default" r:id="R3bab6186b8024d8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scholar.ucc.edu.gh/staff/4c8ea408-cb2d-4b09-a803-7d833e45a229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d1c473c5c264c2d" /><Relationship Type="http://schemas.openxmlformats.org/officeDocument/2006/relationships/hyperlink" Target="https://orcid.org/0000-0001-6451-720X" TargetMode="External" Id="R56ffb64e9ae046f3" /><Relationship Type="http://schemas.openxmlformats.org/officeDocument/2006/relationships/hyperlink" Target="https://scholar.ucc.edu.gh/staff/4c8ea408-cb2d-4b09-a803-7d833e45a229" TargetMode="External" Id="R5fea775960644bde" /><Relationship Type="http://schemas.openxmlformats.org/officeDocument/2006/relationships/hyperlink" Target="https://doi.org/10.1080/23322039.2023.2182454" TargetMode="External" Id="R08eb67e0997d48b1" /><Relationship Type="http://schemas.openxmlformats.org/officeDocument/2006/relationships/hyperlink" Target="https://doi.org/10.1108/ejmbe-05-2022-0126" TargetMode="External" Id="Rb64cf20ce92342a7" /><Relationship Type="http://schemas.openxmlformats.org/officeDocument/2006/relationships/hyperlink" Target="https://doi.org/10.1155/2022/7871109" TargetMode="External" Id="R44ae3f0d655148d1" /><Relationship Type="http://schemas.openxmlformats.org/officeDocument/2006/relationships/hyperlink" Target="https://doi.org/10.1080/20430795.2022.2112141" TargetMode="External" Id="R4b2da4955e884fac" /><Relationship Type="http://schemas.openxmlformats.org/officeDocument/2006/relationships/hyperlink" Target="https://doi.org/10.3390/su13179489" TargetMode="External" Id="R1b87b2ed5f624718" /><Relationship Type="http://schemas.openxmlformats.org/officeDocument/2006/relationships/hyperlink" Target="https://doi.org/10.1007/s10668-020-01140-y" TargetMode="External" Id="R5864060b8e114737" /><Relationship Type="http://schemas.openxmlformats.org/officeDocument/2006/relationships/hyperlink" Target="https://doi.org/10.1080/10971475.2019.1617928" TargetMode="External" Id="R78169fbcee174da5" /><Relationship Type="http://schemas.openxmlformats.org/officeDocument/2006/relationships/hyperlink" Target="https://doi.org/10.1108/cg-05-2016-0124" TargetMode="External" Id="R468547bcbdbd4a1e" /><Relationship Type="http://schemas.openxmlformats.org/officeDocument/2006/relationships/footer" Target="/word/footer1.xml" Id="R3bab6186b8024d80" /></Relationships>
</file>