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ca919d400949ff" /><Relationship Type="http://schemas.openxmlformats.org/package/2006/relationships/metadata/core-properties" Target="/package/services/metadata/core-properties/cb8f94a7efe54133acc14dfee46b1f75.psmdcp" Id="R4fbf2a1cba3940e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Eva Seraphim Tandoh Quansah</w:t>
      </w:r>
    </w:p>
    <w:p>
      <w:r>
        <w:rPr>
          <w:rStyle w:val="Muted"/>
          <w:sz w:val="22"/>
        </w:rPr>
        <w:t xml:space="preserve">Lecturer · African &amp; General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656c9ccaf4f46d4">
        <w:r>
          <w:rPr>
            <w:rStyle w:val="Hyperlink"/>
            <w:sz w:val="18"/>
          </w:rPr>
          <w:t xml:space="preserve">scholar.ucc.edu.gh/staff/5787f734-1049-4413-a218-5aabeb3cfe89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cb87d74ab8eb4d8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scholar.ucc.edu.gh/staff/5787f734-1049-4413-a218-5aabeb3cfe89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aa147bf27db4e1e" /><Relationship Type="http://schemas.openxmlformats.org/officeDocument/2006/relationships/hyperlink" Target="https://scholar.ucc.edu.gh/staff/5787f734-1049-4413-a218-5aabeb3cfe89" TargetMode="External" Id="R6656c9ccaf4f46d4" /><Relationship Type="http://schemas.openxmlformats.org/officeDocument/2006/relationships/footer" Target="/word/footer1.xml" Id="Rcb87d74ab8eb4d89" /></Relationships>
</file>