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2999327514603" /><Relationship Type="http://schemas.openxmlformats.org/package/2006/relationships/metadata/core-properties" Target="/package/services/metadata/core-properties/6381bb8373d7492b8a3c0bdc8afb03b8.psmdcp" Id="Ra41fce8b26ee4ad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Benedine Azanu</w:t>
      </w:r>
    </w:p>
    <w:p>
      <w:r>
        <w:rPr>
          <w:rStyle w:val="Muted"/>
          <w:sz w:val="22"/>
        </w:rPr>
        <w:t xml:space="preserve">Lecturer · Communication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62a006215d34cd3">
        <w:r>
          <w:rPr>
            <w:rStyle w:val="Hyperlink"/>
            <w:sz w:val="18"/>
          </w:rPr>
          <w:t xml:space="preserve">scholar.ucc.edu.gh/staff/7238dcc8-4e90-4764-98d7-47d38dfc626d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e641a9e682cc480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scholar.ucc.edu.gh/staff/7238dcc8-4e90-4764-98d7-47d38dfc626d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b65b76528be4fc3" /><Relationship Type="http://schemas.openxmlformats.org/officeDocument/2006/relationships/hyperlink" Target="https://scholar.ucc.edu.gh/staff/7238dcc8-4e90-4764-98d7-47d38dfc626d" TargetMode="External" Id="R062a006215d34cd3" /><Relationship Type="http://schemas.openxmlformats.org/officeDocument/2006/relationships/footer" Target="/word/footer1.xml" Id="Re641a9e682cc480c" /></Relationships>
</file>