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392ec7ad544d5f" /><Relationship Type="http://schemas.openxmlformats.org/package/2006/relationships/metadata/core-properties" Target="/package/services/metadata/core-properties/a5d29e108e6f467ea50e6c64a9133bbd.psmdcp" Id="Rfb9fbdfda2be4e7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Mario Nisbett</w:t>
      </w:r>
    </w:p>
    <w:p>
      <w:r>
        <w:rPr>
          <w:rStyle w:val="Muted"/>
          <w:sz w:val="22"/>
        </w:rPr>
        <w:t xml:space="preserve">Lecturer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374220c249547ed">
        <w:r>
          <w:rPr>
            <w:rStyle w:val="Hyperlink"/>
            <w:sz w:val="18"/>
          </w:rPr>
          <w:t xml:space="preserve">scholar.ucc.edu.gh/staff/839f2f43-008c-48fb-84a2-5f6de14ea543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3ff4437f9fff418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scholar.ucc.edu.gh/staff/839f2f43-008c-48fb-84a2-5f6de14ea543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a70ece495cd40ec" /><Relationship Type="http://schemas.openxmlformats.org/officeDocument/2006/relationships/hyperlink" Target="https://scholar.ucc.edu.gh/staff/839f2f43-008c-48fb-84a2-5f6de14ea543" TargetMode="External" Id="Rd374220c249547ed" /><Relationship Type="http://schemas.openxmlformats.org/officeDocument/2006/relationships/footer" Target="/word/footer1.xml" Id="R3ff4437f9fff4182" /></Relationships>
</file>