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b791dec4c4e01" /><Relationship Type="http://schemas.openxmlformats.org/package/2006/relationships/metadata/core-properties" Target="/package/services/metadata/core-properties/99cb6c1ba169442182e22b8d89fc86a2.psmdcp" Id="Rcbe59966b50f495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Kodwo Nzeba Eyeson</w:t>
      </w:r>
    </w:p>
    <w:p>
      <w:r>
        <w:rPr>
          <w:rStyle w:val="Muted"/>
          <w:sz w:val="22"/>
        </w:rPr>
        <w:t xml:space="preserve">Professor · Department of Fisheries and Aquatic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49e4d1d65584f4e">
        <w:r>
          <w:rPr>
            <w:rStyle w:val="Hyperlink"/>
            <w:sz w:val="18"/>
          </w:rPr>
          <w:t xml:space="preserve">scholar.ucc.edu.gh/staff/8ca79e42-f3fa-47e4-98fb-9d1bfe3b78b1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Aquatic Science · Physiology · Nature and Landscape Conservation · Global and Planetary Change · Ecology · Reproductive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1970–1992. Field-weighted impact is the mean over the 9 works scored for it; 1.00 is the world average for works of the same field, type and year. 3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K. N. Eyeson</w:t>
      </w:r>
      <w:r>
        <w:t xml:space="preserve"> (1992). </w:t>
      </w:r>
      <w:r>
        <w:t xml:space="preserve">Residual biparental oral‐brooding in the blackchin fish, Sarotherodon melanotheron Rüppell.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ea0580ceb664829">
        <w:r>
          <w:rPr>
            <w:rStyle w:val="Hyperlink"/>
          </w:rPr>
          <w:t xml:space="preserve">https://doi.org/10.1111/j.1095-8649.1992.tb03177.x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Kodwo N. Eyeson</w:t>
      </w:r>
      <w:r>
        <w:t xml:space="preserve"> (1983). </w:t>
      </w:r>
      <w:r>
        <w:t xml:space="preserve">Egg and fry swallowing habits of tilapia.</w:t>
      </w:r>
      <w:r>
        <w:t xml:space="preserve"> </w:t>
      </w:r>
      <w:r>
        <w:rPr>
          <w:i/>
        </w:rPr>
        <w:t xml:space="preserve">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4cc9e2e51d14bda">
        <w:r>
          <w:rPr>
            <w:rStyle w:val="Hyperlink"/>
          </w:rPr>
          <w:t xml:space="preserve">https://doi.org/10.1016/0044-8486(83)90240-5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K.N. Eyeson</w:t>
      </w:r>
      <w:r>
        <w:t xml:space="preserve"> (1983). </w:t>
      </w:r>
      <w:r>
        <w:t xml:space="preserve">Stunting and reproduction in pond-reared Sarotherodon melanotheron.</w:t>
      </w:r>
      <w:r>
        <w:t xml:space="preserve"> </w:t>
      </w:r>
      <w:r>
        <w:rPr>
          <w:i/>
        </w:rPr>
        <w:t xml:space="preserve">Aquaculture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b90bdfedd93447f">
        <w:r>
          <w:rPr>
            <w:rStyle w:val="Hyperlink"/>
          </w:rPr>
          <w:t xml:space="preserve">https://doi.org/10.1016/0044-8486(83)90317-4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J. Blay, </w:t>
      </w:r>
      <w:r>
        <w:rPr>
          <w:b/>
        </w:rPr>
        <w:t xml:space="preserve">K. N. Eyeson</w:t>
      </w:r>
      <w:r>
        <w:t xml:space="preserve"> (1982). </w:t>
      </w:r>
      <w:r>
        <w:t xml:space="preserve">Feeding activity and food habits of the shad, Ethmalosa fimbriata (Bowdich), in the coastal waters of Cape Coast,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8911c5574414bf9">
        <w:r>
          <w:rPr>
            <w:rStyle w:val="Hyperlink"/>
          </w:rPr>
          <w:t xml:space="preserve">https://doi.org/10.1111/j.1095-8649.1982.tb02845.x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J. Blay, </w:t>
      </w:r>
      <w:r>
        <w:rPr>
          <w:b/>
        </w:rPr>
        <w:t xml:space="preserve">K. N. Eyeson</w:t>
      </w:r>
      <w:r>
        <w:t xml:space="preserve"> (1982). </w:t>
      </w:r>
      <w:r>
        <w:t xml:space="preserve">Observations on the reproductive biology of the shad, Ethmalosa fimbriata (Bowdich), in the coastal waters of Cape Coast, Ghana.</w:t>
      </w:r>
      <w:r>
        <w:t xml:space="preserve"> </w:t>
      </w:r>
      <w:r>
        <w:rPr>
          <w:i/>
        </w:rPr>
        <w:t xml:space="preserve">Journal of Fish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3f34375e6b34813">
        <w:r>
          <w:rPr>
            <w:rStyle w:val="Hyperlink"/>
          </w:rPr>
          <w:t xml:space="preserve">https://doi.org/10.1111/j.1095-8649.1982.tb02854.x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K. N. Eyeson</w:t>
      </w:r>
      <w:r>
        <w:t xml:space="preserve"> (1971). </w:t>
      </w:r>
      <w:r>
        <w:t xml:space="preserve">Pituitary control of ovarian activity in the lizard, Agama agama.</w:t>
      </w:r>
      <w:r>
        <w:t xml:space="preserve"> </w:t>
      </w:r>
      <w:r>
        <w:rPr>
          <w:i/>
        </w:rPr>
        <w:t xml:space="preserve">Journal of Zoology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7c9aa1bba4c4edb">
        <w:r>
          <w:rPr>
            <w:rStyle w:val="Hyperlink"/>
          </w:rPr>
          <w:t xml:space="preserve">https://doi.org/10.1111/j.1469-7998.1971.tb02194.x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K.N. Eyeson</w:t>
      </w:r>
      <w:r>
        <w:t xml:space="preserve"> (1971). </w:t>
      </w:r>
      <w:r>
        <w:t xml:space="preserve">The role of the pituitary gland in testicular function in the lizard Agama agama.</w:t>
      </w:r>
      <w:r>
        <w:t xml:space="preserve"> </w:t>
      </w:r>
      <w:r>
        <w:rPr>
          <w:i/>
        </w:rPr>
        <w:t xml:space="preserve">General and Comparative Endocrinology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3792e538084aa8">
        <w:r>
          <w:rPr>
            <w:rStyle w:val="Hyperlink"/>
          </w:rPr>
          <w:t xml:space="preserve">https://doi.org/10.1016/0016-6480(71)90046-3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Kodwo N. Eyeson</w:t>
      </w:r>
      <w:r>
        <w:t xml:space="preserve"> (1970). </w:t>
      </w:r>
      <w:r>
        <w:t xml:space="preserve">Cell types in the distal lobe of the pituitary of the West African rainbow lizard, Agama agama (L).</w:t>
      </w:r>
      <w:r>
        <w:t xml:space="preserve"> </w:t>
      </w:r>
      <w:r>
        <w:rPr>
          <w:i/>
        </w:rPr>
        <w:t xml:space="preserve">General and Comparative Endocrinology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879adc8aec441d">
        <w:r>
          <w:rPr>
            <w:rStyle w:val="Hyperlink"/>
          </w:rPr>
          <w:t xml:space="preserve">https://doi.org/10.1016/0016-6480(70)90063-8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K.N. Eyeson</w:t>
      </w:r>
      <w:r>
        <w:t xml:space="preserve"> (1970). </w:t>
      </w:r>
      <w:r>
        <w:t xml:space="preserve">The role of the thyroid in reproduction of the West African lizard, Agama agama.</w:t>
      </w:r>
      <w:r>
        <w:t xml:space="preserve"> </w:t>
      </w:r>
      <w:r>
        <w:rPr>
          <w:i/>
        </w:rPr>
        <w:t xml:space="preserve">General and Comparative Endocrinology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6c77959cfea426e">
        <w:r>
          <w:rPr>
            <w:rStyle w:val="Hyperlink"/>
          </w:rPr>
          <w:t xml:space="preserve">https://doi.org/10.1016/0016-6480(70)90089-4</w:t>
        </w:r>
      </w:hyperlink>
    </w:p>
    <w:sectPr>
      <w:footerReference xmlns:r="http://schemas.openxmlformats.org/officeDocument/2006/relationships" w:type="default" r:id="R3ea9c345588548c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scholar.ucc.edu.gh/staff/8ca79e42-f3fa-47e4-98fb-9d1bfe3b78b1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c71f7766b9423c" /><Relationship Type="http://schemas.openxmlformats.org/officeDocument/2006/relationships/hyperlink" Target="https://scholar.ucc.edu.gh/staff/8ca79e42-f3fa-47e4-98fb-9d1bfe3b78b1" TargetMode="External" Id="R649e4d1d65584f4e" /><Relationship Type="http://schemas.openxmlformats.org/officeDocument/2006/relationships/hyperlink" Target="https://doi.org/10.1111/j.1095-8649.1992.tb03177.x" TargetMode="External" Id="R7ea0580ceb664829" /><Relationship Type="http://schemas.openxmlformats.org/officeDocument/2006/relationships/hyperlink" Target="https://doi.org/10.1016/0044-8486(83)90240-5" TargetMode="External" Id="Rf4cc9e2e51d14bda" /><Relationship Type="http://schemas.openxmlformats.org/officeDocument/2006/relationships/hyperlink" Target="https://doi.org/10.1016/0044-8486(83)90317-4" TargetMode="External" Id="Rfb90bdfedd93447f" /><Relationship Type="http://schemas.openxmlformats.org/officeDocument/2006/relationships/hyperlink" Target="https://doi.org/10.1111/j.1095-8649.1982.tb02845.x" TargetMode="External" Id="R58911c5574414bf9" /><Relationship Type="http://schemas.openxmlformats.org/officeDocument/2006/relationships/hyperlink" Target="https://doi.org/10.1111/j.1095-8649.1982.tb02854.x" TargetMode="External" Id="R53f34375e6b34813" /><Relationship Type="http://schemas.openxmlformats.org/officeDocument/2006/relationships/hyperlink" Target="https://doi.org/10.1111/j.1469-7998.1971.tb02194.x" TargetMode="External" Id="R97c9aa1bba4c4edb" /><Relationship Type="http://schemas.openxmlformats.org/officeDocument/2006/relationships/hyperlink" Target="https://doi.org/10.1016/0016-6480(71)90046-3" TargetMode="External" Id="Rfb3792e538084aa8" /><Relationship Type="http://schemas.openxmlformats.org/officeDocument/2006/relationships/hyperlink" Target="https://doi.org/10.1016/0016-6480(70)90063-8" TargetMode="External" Id="R8a879adc8aec441d" /><Relationship Type="http://schemas.openxmlformats.org/officeDocument/2006/relationships/hyperlink" Target="https://doi.org/10.1016/0016-6480(70)90089-4" TargetMode="External" Id="R36c77959cfea426e" /><Relationship Type="http://schemas.openxmlformats.org/officeDocument/2006/relationships/footer" Target="/word/footer1.xml" Id="R3ea9c345588548c9" /></Relationships>
</file>