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7226922fb4901" /><Relationship Type="http://schemas.openxmlformats.org/package/2006/relationships/metadata/core-properties" Target="/package/services/metadata/core-properties/cc8e484708664fe6b352db08d9aa7d50.psmdcp" Id="R61288efa374c44b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Vitus Nanbigne</w:t>
      </w:r>
    </w:p>
    <w:p>
      <w:r>
        <w:rPr>
          <w:rStyle w:val="Muted"/>
          <w:sz w:val="22"/>
        </w:rPr>
        <w:t xml:space="preserve">Senior Lecturer · Theatre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2ad754805024998">
        <w:r>
          <w:rPr>
            <w:rStyle w:val="Hyperlink"/>
            <w:sz w:val="18"/>
          </w:rPr>
          <w:t xml:space="preserve">scholar.ucc.edu.gh/staff/9906dfe6-e948-410e-a0ab-caf3a172a8b9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a8000d2e9f02499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scholar.ucc.edu.gh/staff/9906dfe6-e948-410e-a0ab-caf3a172a8b9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e92f6aa02e45d0" /><Relationship Type="http://schemas.openxmlformats.org/officeDocument/2006/relationships/hyperlink" Target="https://scholar.ucc.edu.gh/staff/9906dfe6-e948-410e-a0ab-caf3a172a8b9" TargetMode="External" Id="Rd2ad754805024998" /><Relationship Type="http://schemas.openxmlformats.org/officeDocument/2006/relationships/footer" Target="/word/footer1.xml" Id="Ra8000d2e9f02499d" /></Relationships>
</file>