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a066b4e7c4e67" /><Relationship Type="http://schemas.openxmlformats.org/package/2006/relationships/metadata/core-properties" Target="/package/services/metadata/core-properties/65a2812e34f54ee6b5f0d6abcee05158.psmdcp" Id="Rf4c30d364891445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Agyapong</w:t>
      </w:r>
    </w:p>
    <w:p>
      <w:r>
        <w:rPr>
          <w:rStyle w:val="Muted"/>
          <w:sz w:val="22"/>
        </w:rPr>
        <w:t xml:space="preserve">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01513e629a84b0f">
        <w:r>
          <w:rPr>
            <w:rStyle w:val="Hyperlink"/>
            <w:sz w:val="18"/>
          </w:rPr>
          <w:t xml:space="preserve">0000-0003-4814-3783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fd85d1e6bb54fcd">
        <w:r>
          <w:rPr>
            <w:rStyle w:val="Hyperlink"/>
            <w:sz w:val="18"/>
          </w:rPr>
          <w:t xml:space="preserve">scholar.ucc.edu.gh/staff/99717860-a0e1-4247-a1da-66863c163c30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Computer Science Applications · Information Systems · Library and Information Sciences · Demography · Information Systems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12.09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2018–2025. Field-weighted impact is the mean over the 6 works scored for it; 1.00 is the world average for works of the same field, type and year. 5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Joan-Ark Manu Agyapong, </w:t>
      </w:r>
      <w:r>
        <w:rPr>
          <w:b/>
        </w:rPr>
        <w:t xml:space="preserve">Emmanuel Manu Agyapong</w:t>
      </w:r>
      <w:r>
        <w:t xml:space="preserve">, Samuel Koomson, Maxwell Taabazuing, Martin Kwasi Abiemo</w:t>
      </w:r>
      <w:r>
        <w:t xml:space="preserve"> (2025). </w:t>
      </w:r>
      <w:r>
        <w:t xml:space="preserve">Leading with care: Unveiling how servant leadership boosts patient safety through employee well-being and knowledge sharing.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478e8e2b6cc94cc5">
        <w:r>
          <w:rPr>
            <w:rStyle w:val="Hyperlink"/>
          </w:rPr>
          <w:t xml:space="preserve">https://doi.org/10.1016/j.ssaho.2025.102067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Ernest Opoku, </w:t>
      </w:r>
      <w:r>
        <w:rPr>
          <w:b/>
        </w:rPr>
        <w:t xml:space="preserve">Emmanuel Manu Agyapong</w:t>
      </w:r>
      <w:r>
        <w:t xml:space="preserve">, Christiana Dzirasah</w:t>
      </w:r>
      <w:r>
        <w:t xml:space="preserve"> (2024). </w:t>
      </w:r>
      <w:r>
        <w:t xml:space="preserve">Factors Responsible for Pupils’ Low Academic Performance in Abura-Asebu-Kwamankese District, Ghana.</w:t>
      </w:r>
      <w:r>
        <w:t xml:space="preserve"> </w:t>
      </w:r>
      <w:r>
        <w:rPr>
          <w:i/>
        </w:rPr>
        <w:t xml:space="preserve">EAST 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f82758adbf443df">
        <w:r>
          <w:rPr>
            <w:rStyle w:val="Hyperlink"/>
          </w:rPr>
          <w:t xml:space="preserve">https://doi.org/10.46606/eajess2024v05i01.0351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Kwaku Anhwere Barfi, Valentina Arkorful, Francisca Appiah, </w:t>
      </w:r>
      <w:r>
        <w:rPr>
          <w:b/>
        </w:rPr>
        <w:t xml:space="preserve">Emmanuel Manu Agyapong</w:t>
      </w:r>
      <w:r>
        <w:t xml:space="preserve">, Ebenezer Acheampong</w:t>
      </w:r>
      <w:r>
        <w:t xml:space="preserve"> (2023). </w:t>
      </w:r>
      <w:r>
        <w:t xml:space="preserve">The impact of blended learning on students using the IBOX platform: Initial perspectives of teachers.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88d96a9fa8d449a">
        <w:r>
          <w:rPr>
            <w:rStyle w:val="Hyperlink"/>
          </w:rPr>
          <w:t xml:space="preserve">https://doi.org/10.1016/j.heliyon.2023.e14297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Brandford Brandford Bervell, Jeya Amantha Kumar, Valentina Arkorful, </w:t>
      </w:r>
      <w:r>
        <w:rPr>
          <w:b/>
        </w:rPr>
        <w:t xml:space="preserve">Emmanuel Manu Agyapong</w:t>
      </w:r>
      <w:r>
        <w:t xml:space="preserve">, Sharifah Osman</w:t>
      </w:r>
      <w:r>
        <w:t xml:space="preserve"> (2021). </w:t>
      </w:r>
      <w:r>
        <w:t xml:space="preserve">Remodelling the role of facilitating conditions for Google Classroom acceptance: A revision of UTAUT2.</w:t>
      </w:r>
      <w:r>
        <w:t xml:space="preserve"> </w:t>
      </w:r>
      <w:r>
        <w:rPr>
          <w:i/>
        </w:rPr>
        <w:t xml:space="preserve">Australasian Journal of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b02b771075344ca">
        <w:r>
          <w:rPr>
            <w:rStyle w:val="Hyperlink"/>
          </w:rPr>
          <w:t xml:space="preserve">https://doi.org/10.14742/ajet.7178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Nana Yaa Kwafoa Paulina, Kwaku Anhwere Barfi, </w:t>
      </w:r>
      <w:r>
        <w:rPr>
          <w:b/>
        </w:rPr>
        <w:t xml:space="preserve">Emmanuel Manu Agyapong</w:t>
      </w:r>
      <w:r>
        <w:t xml:space="preserve"> (2019). </w:t>
      </w:r>
      <w:r>
        <w:t xml:space="preserve">Use of electronic resources by postgraduate students in University of Cape Coast.</w:t>
      </w:r>
      <w:r>
        <w:t xml:space="preserve"> </w:t>
      </w:r>
      <w:r>
        <w:rPr>
          <w:i/>
        </w:rPr>
        <w:t xml:space="preserve">International Journal of Library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e6e3587868945e4">
        <w:r>
          <w:rPr>
            <w:rStyle w:val="Hyperlink"/>
          </w:rPr>
          <w:t xml:space="preserve">https://doi.org/10.5897/ijlis2018.0829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Kwaku Anhwere Barfi, Paulina Afful-Arthur, </w:t>
      </w:r>
      <w:r>
        <w:rPr>
          <w:b/>
        </w:rPr>
        <w:t xml:space="preserve">Emmanuel Manu Agyapong</w:t>
      </w:r>
      <w:r>
        <w:t xml:space="preserve"> (2018). </w:t>
      </w:r>
      <w:r>
        <w:t xml:space="preserve">Utilization of library resources by lecturers in university of cape coast.</w:t>
      </w:r>
      <w:r>
        <w:t xml:space="preserve"> </w:t>
      </w:r>
      <w:r>
        <w:rPr>
          <w:i/>
        </w:rPr>
        <w:t xml:space="preserve">International Journal of Library and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39bcf1cccdd4f80">
        <w:r>
          <w:rPr>
            <w:rStyle w:val="Hyperlink"/>
          </w:rPr>
          <w:t xml:space="preserve">https://doi.org/10.5897/ijlis2017.0775</w:t>
        </w:r>
      </w:hyperlink>
    </w:p>
    <w:sectPr>
      <w:footerReference xmlns:r="http://schemas.openxmlformats.org/officeDocument/2006/relationships" w:type="default" r:id="Rea91a247cce64c9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scholar.ucc.edu.gh/staff/99717860-a0e1-4247-a1da-66863c163c30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63baf46c02a4794" /><Relationship Type="http://schemas.openxmlformats.org/officeDocument/2006/relationships/hyperlink" Target="https://orcid.org/0000-0003-4814-3783" TargetMode="External" Id="R301513e629a84b0f" /><Relationship Type="http://schemas.openxmlformats.org/officeDocument/2006/relationships/hyperlink" Target="https://scholar.ucc.edu.gh/staff/99717860-a0e1-4247-a1da-66863c163c30" TargetMode="External" Id="Rafd85d1e6bb54fcd" /><Relationship Type="http://schemas.openxmlformats.org/officeDocument/2006/relationships/hyperlink" Target="https://doi.org/10.1016/j.ssaho.2025.102067" TargetMode="External" Id="R478e8e2b6cc94cc5" /><Relationship Type="http://schemas.openxmlformats.org/officeDocument/2006/relationships/hyperlink" Target="https://doi.org/10.46606/eajess2024v05i01.0351" TargetMode="External" Id="Rff82758adbf443df" /><Relationship Type="http://schemas.openxmlformats.org/officeDocument/2006/relationships/hyperlink" Target="https://doi.org/10.1016/j.heliyon.2023.e14297" TargetMode="External" Id="R488d96a9fa8d449a" /><Relationship Type="http://schemas.openxmlformats.org/officeDocument/2006/relationships/hyperlink" Target="https://doi.org/10.14742/ajet.7178" TargetMode="External" Id="R7b02b771075344ca" /><Relationship Type="http://schemas.openxmlformats.org/officeDocument/2006/relationships/hyperlink" Target="https://doi.org/10.5897/ijlis2018.0829" TargetMode="External" Id="R2e6e3587868945e4" /><Relationship Type="http://schemas.openxmlformats.org/officeDocument/2006/relationships/hyperlink" Target="https://doi.org/10.5897/ijlis2017.0775" TargetMode="External" Id="R139bcf1cccdd4f80" /><Relationship Type="http://schemas.openxmlformats.org/officeDocument/2006/relationships/footer" Target="/word/footer1.xml" Id="Rea91a247cce64c93" /></Relationships>
</file>