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a657a4e0a48b5" /><Relationship Type="http://schemas.openxmlformats.org/package/2006/relationships/metadata/core-properties" Target="/package/services/metadata/core-properties/551c2af1e09c47fdba79206440be3f0e.psmdcp" Id="R64d3f82de30f4b8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Robertson Akrofi</w:t>
      </w:r>
    </w:p>
    <w:p>
      <w:r>
        <w:rPr>
          <w:rStyle w:val="Muted"/>
          <w:sz w:val="22"/>
        </w:rPr>
        <w:t xml:space="preserve">Lecturer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2bdbb2e681d4bd3">
        <w:r>
          <w:rPr>
            <w:rStyle w:val="Hyperlink"/>
            <w:sz w:val="18"/>
          </w:rPr>
          <w:t xml:space="preserve">scholar.ucc.edu.gh/staff/aece5abb-4c2c-4198-8465-eef86c7c4177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04413b3390c04b6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scholar.ucc.edu.gh/staff/aece5abb-4c2c-4198-8465-eef86c7c4177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1517a96d814fb7" /><Relationship Type="http://schemas.openxmlformats.org/officeDocument/2006/relationships/hyperlink" Target="https://scholar.ucc.edu.gh/staff/aece5abb-4c2c-4198-8465-eef86c7c4177" TargetMode="External" Id="Ra2bdbb2e681d4bd3" /><Relationship Type="http://schemas.openxmlformats.org/officeDocument/2006/relationships/footer" Target="/word/footer1.xml" Id="R04413b3390c04b65" /></Relationships>
</file>