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4d2fc0cec245e5" /><Relationship Type="http://schemas.openxmlformats.org/package/2006/relationships/metadata/core-properties" Target="/package/services/metadata/core-properties/dfb50c93e6604efbb1d2b427dcc00e40.psmdcp" Id="R30a0e9fbb36949c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mawuyra gli</w:t>
      </w:r>
    </w:p>
    <w:p>
      <w:r>
        <w:rPr>
          <w:rStyle w:val="Muted"/>
          <w:sz w:val="22"/>
        </w:rPr>
        <w:t xml:space="preserve">Lecturer · French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5b3913499364c1d">
        <w:r>
          <w:rPr>
            <w:rStyle w:val="Hyperlink"/>
            <w:sz w:val="18"/>
          </w:rPr>
          <w:t xml:space="preserve">scholar.ucc.edu.gh/staff/b094fa4e-6e95-478a-b07f-66253c6e834d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fb629ad8b2214a6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scholar.ucc.edu.gh/staff/b094fa4e-6e95-478a-b07f-66253c6e834d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38d687790da4fc3" /><Relationship Type="http://schemas.openxmlformats.org/officeDocument/2006/relationships/hyperlink" Target="https://scholar.ucc.edu.gh/staff/b094fa4e-6e95-478a-b07f-66253c6e834d" TargetMode="External" Id="R15b3913499364c1d" /><Relationship Type="http://schemas.openxmlformats.org/officeDocument/2006/relationships/footer" Target="/word/footer1.xml" Id="Rfb629ad8b2214a60" /></Relationships>
</file>