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a63a4bdb64512" /><Relationship Type="http://schemas.openxmlformats.org/package/2006/relationships/metadata/core-properties" Target="/package/services/metadata/core-properties/dcff8296c36548d0a001740ebb682429.psmdcp" Id="R7983760674f145e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Prince Charles Lawson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bf804c7f51f4b86">
        <w:r>
          <w:rPr>
            <w:rStyle w:val="Hyperlink"/>
            <w:sz w:val="18"/>
          </w:rPr>
          <w:t xml:space="preserve">scholar.ucc.edu.gh/staff/c35bff6d-2175-449f-8e50-21ddde28c09e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8798c3dc8f5482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scholar.ucc.edu.gh/staff/c35bff6d-2175-449f-8e50-21ddde28c09e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beda9458904fa6" /><Relationship Type="http://schemas.openxmlformats.org/officeDocument/2006/relationships/hyperlink" Target="https://scholar.ucc.edu.gh/staff/c35bff6d-2175-449f-8e50-21ddde28c09e" TargetMode="External" Id="R8bf804c7f51f4b86" /><Relationship Type="http://schemas.openxmlformats.org/officeDocument/2006/relationships/footer" Target="/word/footer1.xml" Id="R78798c3dc8f54823" /></Relationships>
</file>