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e627381bc4990" /><Relationship Type="http://schemas.openxmlformats.org/package/2006/relationships/metadata/core-properties" Target="/package/services/metadata/core-properties/67f21b48d30443df857b749d347cf73f.psmdcp" Id="R8205c48fb91a4e4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Hackman-Aidoo</w:t>
      </w:r>
    </w:p>
    <w:p>
      <w:r>
        <w:rPr>
          <w:rStyle w:val="Muted"/>
          <w:sz w:val="22"/>
        </w:rPr>
        <w:t xml:space="preserve">Assistant Lecturer · Law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89337899cce47e7">
        <w:r>
          <w:rPr>
            <w:rStyle w:val="Hyperlink"/>
            <w:sz w:val="18"/>
          </w:rPr>
          <w:t xml:space="preserve">scholar.ucc.edu.gh/staff/cdc19da3-0a51-4bda-98b5-43b9ad0aeb09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10e4b5306854f0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scholar.ucc.edu.gh/staff/cdc19da3-0a51-4bda-98b5-43b9ad0aeb09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bd665144de04772" /><Relationship Type="http://schemas.openxmlformats.org/officeDocument/2006/relationships/hyperlink" Target="https://scholar.ucc.edu.gh/staff/cdc19da3-0a51-4bda-98b5-43b9ad0aeb09" TargetMode="External" Id="R789337899cce47e7" /><Relationship Type="http://schemas.openxmlformats.org/officeDocument/2006/relationships/footer" Target="/word/footer1.xml" Id="R010e4b5306854f0c" /></Relationships>
</file>