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6c2863b5a4745" /><Relationship Type="http://schemas.openxmlformats.org/package/2006/relationships/metadata/core-properties" Target="/package/services/metadata/core-properties/c6677214a9d74f28acd3f8018ece76a4.psmdcp" Id="R82f83075f0a0462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Adamu Saanid</w:t>
      </w:r>
    </w:p>
    <w:p>
      <w:r>
        <w:rPr>
          <w:rStyle w:val="Muted"/>
          <w:sz w:val="22"/>
        </w:rPr>
        <w:t xml:space="preserve">Lecturer · Chemical Pathology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2d57e04cc8a4293">
        <w:r>
          <w:rPr>
            <w:rStyle w:val="Hyperlink"/>
            <w:sz w:val="18"/>
          </w:rPr>
          <w:t xml:space="preserve">scholar.ucc.edu.gh/staff/ce62a684-64fd-4071-90d0-38bc76cc21df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01fe880ae9854c6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scholar.ucc.edu.gh/staff/ce62a684-64fd-4071-90d0-38bc76cc21df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87602304dc74c5b" /><Relationship Type="http://schemas.openxmlformats.org/officeDocument/2006/relationships/hyperlink" Target="https://scholar.ucc.edu.gh/staff/ce62a684-64fd-4071-90d0-38bc76cc21df" TargetMode="External" Id="R22d57e04cc8a4293" /><Relationship Type="http://schemas.openxmlformats.org/officeDocument/2006/relationships/footer" Target="/word/footer1.xml" Id="R01fe880ae9854c6a" /></Relationships>
</file>