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cdc5d2e9c4537" /><Relationship Type="http://schemas.openxmlformats.org/package/2006/relationships/metadata/core-properties" Target="/package/services/metadata/core-properties/328fab5269104484958e0a8df980be1e.psmdcp" Id="R9aad2402db5e455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Maxwell Taabazuing</w:t>
      </w:r>
    </w:p>
    <w:p>
      <w:r>
        <w:rPr>
          <w:rStyle w:val="Muted"/>
          <w:sz w:val="22"/>
        </w:rPr>
        <w:t xml:space="preserve">Lecturer · Department of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8d97ba020fe4361">
        <w:r>
          <w:rPr>
            <w:rStyle w:val="Hyperlink"/>
            <w:sz w:val="18"/>
          </w:rPr>
          <w:t xml:space="preserve">scholar.ucc.edu.gh/staff/e379f2fd-5039-4744-8159-e747fad849d6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e241a5eb09e4457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scholar.ucc.edu.gh/staff/e379f2fd-5039-4744-8159-e747fad849d6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3993f9261c4f94" /><Relationship Type="http://schemas.openxmlformats.org/officeDocument/2006/relationships/hyperlink" Target="https://scholar.ucc.edu.gh/staff/e379f2fd-5039-4744-8159-e747fad849d6" TargetMode="External" Id="R48d97ba020fe4361" /><Relationship Type="http://schemas.openxmlformats.org/officeDocument/2006/relationships/footer" Target="/word/footer1.xml" Id="Re241a5eb09e44579" /></Relationships>
</file>