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7a293625f4e3c" /><Relationship Type="http://schemas.openxmlformats.org/package/2006/relationships/metadata/core-properties" Target="/package/services/metadata/core-properties/3a64b2b74f88485d9ef5ab17d5ffd27f.psmdcp" Id="Re586d6c503b843f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Ahmed Adu-oppong</w:t>
      </w:r>
    </w:p>
    <w:p>
      <w:r>
        <w:rPr>
          <w:rStyle w:val="Muted"/>
          <w:sz w:val="22"/>
        </w:rPr>
        <w:t xml:space="preserve">Associate Professor · Community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906b34676ff4e62">
        <w:r>
          <w:rPr>
            <w:rStyle w:val="Hyperlink"/>
            <w:sz w:val="18"/>
          </w:rPr>
          <w:t xml:space="preserve">scholar.ucc.edu.gh/staff/e8d6e8ac-f27f-45e9-9ba5-7b265979125e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a00c5ff6cbb4466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scholar.ucc.edu.gh/staff/e8d6e8ac-f27f-45e9-9ba5-7b265979125e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3bb4d5d91b497f" /><Relationship Type="http://schemas.openxmlformats.org/officeDocument/2006/relationships/hyperlink" Target="https://scholar.ucc.edu.gh/staff/e8d6e8ac-f27f-45e9-9ba5-7b265979125e" TargetMode="External" Id="R0906b34676ff4e62" /><Relationship Type="http://schemas.openxmlformats.org/officeDocument/2006/relationships/footer" Target="/word/footer1.xml" Id="Ra00c5ff6cbb44667" /></Relationships>
</file>