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e98adf34924e50" /><Relationship Type="http://schemas.openxmlformats.org/package/2006/relationships/metadata/core-properties" Target="/package/services/metadata/core-properties/272f2fcf422b4193a349d17a31d409f3.psmdcp" Id="R16fa39787a7e46d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Segbefia</w:t>
      </w:r>
    </w:p>
    <w:p>
      <w:r>
        <w:rPr>
          <w:rStyle w:val="Muted"/>
          <w:sz w:val="22"/>
        </w:rPr>
        <w:t xml:space="preserve">Lecturer · Classics &amp; Philosophy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c82a39e3ce8349fd">
        <w:r>
          <w:rPr>
            <w:rStyle w:val="Hyperlink"/>
            <w:sz w:val="18"/>
          </w:rPr>
          <w:t xml:space="preserve">scholar.ucc.edu.gh/staff/f0fdd3b4-a169-437f-9bac-e71efbc71005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521821fe9cd74128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scholar.ucc.edu.gh/staff/f0fdd3b4-a169-437f-9bac-e71efbc71005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d42a363102c4e8c" /><Relationship Type="http://schemas.openxmlformats.org/officeDocument/2006/relationships/hyperlink" Target="https://scholar.ucc.edu.gh/staff/f0fdd3b4-a169-437f-9bac-e71efbc71005" TargetMode="External" Id="Rc82a39e3ce8349fd" /><Relationship Type="http://schemas.openxmlformats.org/officeDocument/2006/relationships/footer" Target="/word/footer1.xml" Id="R521821fe9cd74128" /></Relationships>
</file>