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e9be6c52241cb" /><Relationship Type="http://schemas.openxmlformats.org/package/2006/relationships/metadata/core-properties" Target="/package/services/metadata/core-properties/72b3c02c31d34c2cbb8febdbc1be439c.psmdcp" Id="Rfb11b18060df4fd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DR.Philip Atsagli</w:t>
      </w:r>
    </w:p>
    <w:p>
      <w:r>
        <w:rPr>
          <w:rStyle w:val="Muted"/>
          <w:sz w:val="22"/>
        </w:rPr>
        <w:t xml:space="preserve">Lecturer · Department of Finance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34eea3381634859">
        <w:r>
          <w:rPr>
            <w:rStyle w:val="Hyperlink"/>
            <w:sz w:val="18"/>
          </w:rPr>
          <w:t xml:space="preserve">scholar.ucc.edu.gh/staff/f2401289-2979-46e7-9dce-d21d81ef7492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36ee404faa94f8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scholar.ucc.edu.gh/staff/f2401289-2979-46e7-9dce-d21d81ef7492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dad36dcc2743d7" /><Relationship Type="http://schemas.openxmlformats.org/officeDocument/2006/relationships/hyperlink" Target="https://scholar.ucc.edu.gh/staff/f2401289-2979-46e7-9dce-d21d81ef7492" TargetMode="External" Id="Re34eea3381634859" /><Relationship Type="http://schemas.openxmlformats.org/officeDocument/2006/relationships/footer" Target="/word/footer1.xml" Id="Rc36ee404faa94f87" /></Relationships>
</file>