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b8cbd747a4756" /><Relationship Type="http://schemas.openxmlformats.org/package/2006/relationships/metadata/core-properties" Target="/package/services/metadata/core-properties/c7da4854759144b791f780a015cc4619.psmdcp" Id="R047c43a8c991476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S. K. Adjepong</w:t>
      </w:r>
    </w:p>
    <w:p>
      <w:r>
        <w:rPr>
          <w:rStyle w:val="Muted"/>
          <w:sz w:val="22"/>
        </w:rPr>
        <w:t xml:space="preserve">Professor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143008d77a84347">
        <w:r>
          <w:rPr>
            <w:rStyle w:val="Hyperlink"/>
            <w:sz w:val="18"/>
          </w:rPr>
          <w:t xml:space="preserve">scholar.ucc.edu.gh/staff/f5afd4cb-19a1-4786-9835-8a2fff99bdd9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c78c3cc67e4d499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scholar.ucc.edu.gh/staff/f5afd4cb-19a1-4786-9835-8a2fff99bdd9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d703f8bf674338" /><Relationship Type="http://schemas.openxmlformats.org/officeDocument/2006/relationships/hyperlink" Target="https://scholar.ucc.edu.gh/staff/f5afd4cb-19a1-4786-9835-8a2fff99bdd9" TargetMode="External" Id="R3143008d77a84347" /><Relationship Type="http://schemas.openxmlformats.org/officeDocument/2006/relationships/footer" Target="/word/footer1.xml" Id="Rc78c3cc67e4d4996" /></Relationships>
</file>